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5C1F51" w14:textId="289CEE38" w:rsidR="000B2FF8" w:rsidRDefault="000B2FF8">
      <w:pPr>
        <w:spacing w:line="360" w:lineRule="auto"/>
        <w:jc w:val="center"/>
        <w:rPr>
          <w:rFonts w:ascii="Bookman Old Style" w:eastAsia="Bookman Old Style" w:hAnsi="Bookman Old Style" w:cs="Bookman Old Style"/>
          <w:b/>
          <w:sz w:val="36"/>
          <w:szCs w:val="36"/>
        </w:rPr>
      </w:pPr>
      <w:r>
        <w:rPr>
          <w:rFonts w:ascii="Bookman Old Style" w:eastAsia="Bookman Old Style" w:hAnsi="Bookman Old Style" w:cs="Bookman Old Style"/>
          <w:b/>
          <w:noProof/>
          <w:sz w:val="36"/>
          <w:szCs w:val="36"/>
        </w:rPr>
        <w:drawing>
          <wp:inline distT="0" distB="0" distL="0" distR="0" wp14:anchorId="276BAB6B" wp14:editId="6E1E22BC">
            <wp:extent cx="4781550" cy="389369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uzzle-pieces-2648213.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788288" cy="3899181"/>
                    </a:xfrm>
                    <a:prstGeom prst="rect">
                      <a:avLst/>
                    </a:prstGeom>
                  </pic:spPr>
                </pic:pic>
              </a:graphicData>
            </a:graphic>
          </wp:inline>
        </w:drawing>
      </w:r>
    </w:p>
    <w:p w14:paraId="00000001" w14:textId="77777777" w:rsidR="00BE33C2" w:rsidRDefault="000B18E2">
      <w:pPr>
        <w:spacing w:line="360" w:lineRule="auto"/>
        <w:jc w:val="center"/>
        <w:rPr>
          <w:rFonts w:ascii="Bookman Old Style" w:eastAsia="Bookman Old Style" w:hAnsi="Bookman Old Style" w:cs="Bookman Old Style"/>
          <w:b/>
          <w:sz w:val="36"/>
          <w:szCs w:val="36"/>
        </w:rPr>
      </w:pPr>
      <w:r>
        <w:rPr>
          <w:rFonts w:ascii="Bookman Old Style" w:eastAsia="Bookman Old Style" w:hAnsi="Bookman Old Style" w:cs="Bookman Old Style"/>
          <w:b/>
          <w:sz w:val="36"/>
          <w:szCs w:val="36"/>
        </w:rPr>
        <w:t>WHAT'S A REAL ESTATE SYNDICATION?</w:t>
      </w:r>
    </w:p>
    <w:p w14:paraId="60ACAA0B" w14:textId="0F639567" w:rsidR="00F56FE0" w:rsidRPr="00F56FE0" w:rsidRDefault="00F56FE0" w:rsidP="00F56FE0">
      <w:pPr>
        <w:spacing w:after="0" w:line="240" w:lineRule="auto"/>
        <w:rPr>
          <w:rFonts w:ascii="Bookman Old Style" w:eastAsia="Bookman Old Style" w:hAnsi="Bookman Old Style" w:cs="Bookman Old Style"/>
          <w:szCs w:val="36"/>
        </w:rPr>
      </w:pPr>
      <w:r w:rsidRPr="00F56FE0">
        <w:rPr>
          <w:rFonts w:ascii="Bookman Old Style" w:eastAsia="Bookman Old Style" w:hAnsi="Bookman Old Style" w:cs="Bookman Old Style"/>
          <w:szCs w:val="36"/>
        </w:rPr>
        <w:t>Ismael Reyes</w:t>
      </w:r>
    </w:p>
    <w:p w14:paraId="78BDD244" w14:textId="5167556D" w:rsidR="00F56FE0" w:rsidRPr="00F56FE0" w:rsidRDefault="00F56FE0" w:rsidP="00F56FE0">
      <w:pPr>
        <w:spacing w:after="0" w:line="240" w:lineRule="auto"/>
        <w:rPr>
          <w:rFonts w:ascii="Bookman Old Style" w:eastAsia="Bookman Old Style" w:hAnsi="Bookman Old Style" w:cs="Bookman Old Style"/>
          <w:szCs w:val="36"/>
        </w:rPr>
      </w:pPr>
      <w:hyperlink r:id="rId7" w:history="1">
        <w:r w:rsidRPr="00F56FE0">
          <w:rPr>
            <w:rStyle w:val="Hyperlink"/>
            <w:rFonts w:ascii="Bookman Old Style" w:eastAsia="Bookman Old Style" w:hAnsi="Bookman Old Style" w:cs="Bookman Old Style"/>
            <w:szCs w:val="36"/>
          </w:rPr>
          <w:t>MI Real Estate, LLC</w:t>
        </w:r>
      </w:hyperlink>
      <w:r w:rsidRPr="00F56FE0">
        <w:rPr>
          <w:rFonts w:ascii="Bookman Old Style" w:eastAsia="Bookman Old Style" w:hAnsi="Bookman Old Style" w:cs="Bookman Old Style"/>
          <w:szCs w:val="36"/>
        </w:rPr>
        <w:t xml:space="preserve"> </w:t>
      </w:r>
    </w:p>
    <w:p w14:paraId="588B17BE" w14:textId="2538706B" w:rsidR="00F56FE0" w:rsidRPr="00F56FE0" w:rsidRDefault="00F56FE0" w:rsidP="00F56FE0">
      <w:pPr>
        <w:spacing w:after="0" w:line="240" w:lineRule="auto"/>
        <w:rPr>
          <w:rFonts w:ascii="Bookman Old Style" w:eastAsia="Bookman Old Style" w:hAnsi="Bookman Old Style" w:cs="Bookman Old Style"/>
          <w:szCs w:val="36"/>
        </w:rPr>
      </w:pPr>
      <w:r w:rsidRPr="00F56FE0">
        <w:rPr>
          <w:rFonts w:ascii="Bookman Old Style" w:eastAsia="Bookman Old Style" w:hAnsi="Bookman Old Style" w:cs="Bookman Old Style"/>
          <w:szCs w:val="36"/>
        </w:rPr>
        <w:t>March 23, 2019</w:t>
      </w:r>
    </w:p>
    <w:p w14:paraId="6BB97D27" w14:textId="0AA6357D" w:rsidR="00F56FE0" w:rsidRPr="00F56FE0" w:rsidRDefault="00F56FE0" w:rsidP="00F56FE0">
      <w:pPr>
        <w:spacing w:after="0" w:line="240" w:lineRule="auto"/>
        <w:rPr>
          <w:rFonts w:ascii="Bookman Old Style" w:eastAsia="Bookman Old Style" w:hAnsi="Bookman Old Style" w:cs="Bookman Old Style"/>
          <w:szCs w:val="36"/>
        </w:rPr>
      </w:pPr>
    </w:p>
    <w:p w14:paraId="0FD71E16" w14:textId="683C4895" w:rsidR="00F56FE0" w:rsidRPr="00F56FE0" w:rsidRDefault="00F56FE0" w:rsidP="00F56FE0">
      <w:pPr>
        <w:spacing w:after="0" w:line="240" w:lineRule="auto"/>
        <w:rPr>
          <w:rFonts w:ascii="Bookman Old Style" w:eastAsia="Bookman Old Style" w:hAnsi="Bookman Old Style" w:cs="Bookman Old Style"/>
          <w:sz w:val="24"/>
          <w:szCs w:val="36"/>
        </w:rPr>
      </w:pPr>
      <w:r w:rsidRPr="00F56FE0">
        <w:rPr>
          <w:rFonts w:ascii="Arial" w:hAnsi="Arial" w:cs="Arial"/>
          <w:noProof/>
          <w:color w:val="0000FF"/>
          <w:sz w:val="20"/>
          <w:shd w:val="clear" w:color="auto" w:fill="FFFFFF"/>
        </w:rPr>
        <w:drawing>
          <wp:inline distT="0" distB="0" distL="0" distR="0" wp14:anchorId="42F6CDFF" wp14:editId="0F87CFD1">
            <wp:extent cx="228600" cy="228600"/>
            <wp:effectExtent l="0" t="0" r="0" b="0"/>
            <wp:docPr id="4" name="Picture 4" descr="https://icons-for-free.com/icon/download-communication_facebook_like_media_network_share_social_icon-321109.pn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cons-for-free.com/icon/download-communication_facebook_like_media_network_share_social_icon-321109.png">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F56FE0">
        <w:rPr>
          <w:rFonts w:ascii="Arial" w:hAnsi="Arial" w:cs="Arial"/>
          <w:color w:val="222222"/>
          <w:sz w:val="20"/>
          <w:shd w:val="clear" w:color="auto" w:fill="FFFFFF"/>
        </w:rPr>
        <w:t>  </w:t>
      </w:r>
      <w:r w:rsidRPr="00F56FE0">
        <w:rPr>
          <w:rFonts w:ascii="Arial" w:hAnsi="Arial" w:cs="Arial"/>
          <w:noProof/>
          <w:color w:val="0000FF"/>
          <w:sz w:val="20"/>
          <w:shd w:val="clear" w:color="auto" w:fill="FFFFFF"/>
        </w:rPr>
        <w:drawing>
          <wp:inline distT="0" distB="0" distL="0" distR="0" wp14:anchorId="11497DCA" wp14:editId="65CDFC61">
            <wp:extent cx="228600" cy="228600"/>
            <wp:effectExtent l="0" t="0" r="0" b="0"/>
            <wp:docPr id="3" name="Picture 3" descr="https://icons-for-free.com/icon/download-bird_chat_communication_message_social_tweet_twitter_icon-321137.png">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cons-for-free.com/icon/download-bird_chat_communication_message_social_tweet_twitter_icon-321137.png">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F56FE0">
        <w:rPr>
          <w:rFonts w:ascii="Arial" w:hAnsi="Arial" w:cs="Arial"/>
          <w:color w:val="222222"/>
          <w:sz w:val="20"/>
          <w:shd w:val="clear" w:color="auto" w:fill="FFFFFF"/>
        </w:rPr>
        <w:t>  </w:t>
      </w:r>
      <w:r>
        <w:rPr>
          <w:rFonts w:ascii="Arial" w:hAnsi="Arial" w:cs="Arial"/>
          <w:noProof/>
          <w:color w:val="0000FF"/>
          <w:shd w:val="clear" w:color="auto" w:fill="FFFFFF"/>
        </w:rPr>
        <w:drawing>
          <wp:inline distT="0" distB="0" distL="0" distR="0" wp14:anchorId="4B6B732B" wp14:editId="3F717D11">
            <wp:extent cx="228600" cy="228600"/>
            <wp:effectExtent l="0" t="0" r="0" b="0"/>
            <wp:docPr id="2" name="Picture 2" descr="https://icons-for-free.com/icon/download-in_linked_linkedin_media_social_icon-320339.png">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cons-for-free.com/icon/download-in_linked_linkedin_media_social_icon-320339.png">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2AE5FE48" w14:textId="6FEDC623" w:rsidR="00F56FE0" w:rsidRPr="00F56FE0" w:rsidRDefault="00F56FE0" w:rsidP="00F56FE0">
      <w:pPr>
        <w:spacing w:after="0" w:line="240" w:lineRule="auto"/>
        <w:rPr>
          <w:rFonts w:ascii="Bookman Old Style" w:eastAsia="Bookman Old Style" w:hAnsi="Bookman Old Style" w:cs="Bookman Old Style"/>
          <w:sz w:val="28"/>
          <w:szCs w:val="36"/>
        </w:rPr>
      </w:pPr>
    </w:p>
    <w:p w14:paraId="00000003" w14:textId="77777777" w:rsidR="00BE33C2" w:rsidRDefault="000B18E2">
      <w:pPr>
        <w:spacing w:line="360" w:lineRule="auto"/>
        <w:jc w:val="both"/>
        <w:rPr>
          <w:rFonts w:ascii="Bookman Old Style" w:eastAsia="Bookman Old Style" w:hAnsi="Bookman Old Style" w:cs="Bookman Old Style"/>
          <w:b/>
          <w:sz w:val="24"/>
          <w:szCs w:val="24"/>
        </w:rPr>
      </w:pPr>
      <w:r>
        <w:rPr>
          <w:rFonts w:ascii="Bookman Old Style" w:eastAsia="Bookman Old Style" w:hAnsi="Bookman Old Style" w:cs="Bookman Old Style"/>
          <w:sz w:val="24"/>
          <w:szCs w:val="24"/>
        </w:rPr>
        <w:t xml:space="preserve">Real estate syndication is one of the main ways in which real estate developers and </w:t>
      </w:r>
      <w:r>
        <w:rPr>
          <w:rFonts w:ascii="Bookman Old Style" w:eastAsia="Bookman Old Style" w:hAnsi="Bookman Old Style" w:cs="Bookman Old Style"/>
          <w:b/>
          <w:sz w:val="24"/>
          <w:szCs w:val="24"/>
        </w:rPr>
        <w:t>multi-family real estate investors</w:t>
      </w:r>
      <w:r>
        <w:rPr>
          <w:rFonts w:ascii="Bookman Old Style" w:eastAsia="Bookman Old Style" w:hAnsi="Bookman Old Style" w:cs="Bookman Old Style"/>
          <w:sz w:val="24"/>
          <w:szCs w:val="24"/>
        </w:rPr>
        <w:t xml:space="preserve"> finance their real estate projects. It is essential to unders</w:t>
      </w:r>
      <w:r>
        <w:rPr>
          <w:rFonts w:ascii="Bookman Old Style" w:eastAsia="Bookman Old Style" w:hAnsi="Bookman Old Style" w:cs="Bookman Old Style"/>
          <w:sz w:val="24"/>
          <w:szCs w:val="24"/>
        </w:rPr>
        <w:t xml:space="preserve">tand this concept of real estate financing because, as a busy professional, it is likely going to be your preferred method of investing in multi-family property. A syndicated real estate transaction involves bringing together a group of investors to raise </w:t>
      </w:r>
      <w:r>
        <w:rPr>
          <w:rFonts w:ascii="Bookman Old Style" w:eastAsia="Bookman Old Style" w:hAnsi="Bookman Old Style" w:cs="Bookman Old Style"/>
          <w:sz w:val="24"/>
          <w:szCs w:val="24"/>
        </w:rPr>
        <w:t xml:space="preserve">money for real estate investment through the </w:t>
      </w:r>
      <w:r>
        <w:rPr>
          <w:rFonts w:ascii="Bookman Old Style" w:eastAsia="Bookman Old Style" w:hAnsi="Bookman Old Style" w:cs="Bookman Old Style"/>
          <w:b/>
          <w:sz w:val="24"/>
          <w:szCs w:val="24"/>
        </w:rPr>
        <w:t>commercial real estate market.</w:t>
      </w:r>
    </w:p>
    <w:p w14:paraId="00000004" w14:textId="77777777" w:rsidR="00BE33C2" w:rsidRDefault="000B18E2">
      <w:pPr>
        <w:spacing w:line="360" w:lineRule="auto"/>
        <w:jc w:val="both"/>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What does syndication mean?</w:t>
      </w:r>
    </w:p>
    <w:p w14:paraId="00000005" w14:textId="494F1E0C" w:rsidR="00BE33C2" w:rsidRDefault="000B18E2">
      <w:pPr>
        <w:spacing w:line="36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lastRenderedPageBreak/>
        <w:t xml:space="preserve">Real estate syndication is a capital aggregation of several participants to invest in real estate opportunities jointly. Simply, syndication means that </w:t>
      </w:r>
      <w:r>
        <w:rPr>
          <w:rFonts w:ascii="Bookman Old Style" w:eastAsia="Bookman Old Style" w:hAnsi="Bookman Old Style" w:cs="Bookman Old Style"/>
          <w:sz w:val="24"/>
          <w:szCs w:val="24"/>
        </w:rPr>
        <w:t>a group of people join to buy a property. Syndication can be formed to acquire a property or several properties. In general, when we talk about syndication, we refer to the aggregation of the capital required for the purchase of a property.</w:t>
      </w:r>
      <w:r w:rsidR="0092601B">
        <w:rPr>
          <w:rFonts w:ascii="Bookman Old Style" w:eastAsia="Bookman Old Style" w:hAnsi="Bookman Old Style" w:cs="Bookman Old Style"/>
          <w:sz w:val="24"/>
          <w:szCs w:val="24"/>
        </w:rPr>
        <w:t xml:space="preserve">  Real Estate Syndications are federally regulated in accordance with the </w:t>
      </w:r>
      <w:hyperlink r:id="rId14" w:history="1">
        <w:r w:rsidR="0092601B" w:rsidRPr="0092601B">
          <w:rPr>
            <w:rStyle w:val="Hyperlink"/>
            <w:rFonts w:ascii="Bookman Old Style" w:eastAsia="Bookman Old Style" w:hAnsi="Bookman Old Style" w:cs="Bookman Old Style"/>
            <w:sz w:val="24"/>
            <w:szCs w:val="24"/>
          </w:rPr>
          <w:t>Securities Act of 1933</w:t>
        </w:r>
      </w:hyperlink>
      <w:r w:rsidR="0092601B">
        <w:rPr>
          <w:rFonts w:ascii="Bookman Old Style" w:eastAsia="Bookman Old Style" w:hAnsi="Bookman Old Style" w:cs="Bookman Old Style"/>
          <w:sz w:val="24"/>
          <w:szCs w:val="24"/>
        </w:rPr>
        <w:t>.</w:t>
      </w:r>
      <w:r>
        <w:rPr>
          <w:rFonts w:ascii="Bookman Old Style" w:eastAsia="Bookman Old Style" w:hAnsi="Bookman Old Style" w:cs="Bookman Old Style"/>
          <w:sz w:val="24"/>
          <w:szCs w:val="24"/>
        </w:rPr>
        <w:t xml:space="preserve"> </w:t>
      </w:r>
    </w:p>
    <w:p w14:paraId="00000006" w14:textId="77777777" w:rsidR="00BE33C2" w:rsidRDefault="000B18E2">
      <w:pPr>
        <w:spacing w:line="360" w:lineRule="auto"/>
        <w:jc w:val="both"/>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Regulation D</w:t>
      </w:r>
    </w:p>
    <w:p w14:paraId="00000007" w14:textId="77777777" w:rsidR="00BE33C2" w:rsidRDefault="000B18E2">
      <w:pPr>
        <w:spacing w:line="36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R</w:t>
      </w:r>
      <w:r>
        <w:rPr>
          <w:rFonts w:ascii="Bookman Old Style" w:eastAsia="Bookman Old Style" w:hAnsi="Bookman Old Style" w:cs="Bookman Old Style"/>
          <w:sz w:val="24"/>
          <w:szCs w:val="24"/>
        </w:rPr>
        <w:t xml:space="preserve">egulation D is a United States Federal program created under the Securities Act of 1933, influenced in 1982, which allows companies the ability to raise capital through the sale of equity or debt securities (private or public stock shares). It is designed </w:t>
      </w:r>
      <w:r>
        <w:rPr>
          <w:rFonts w:ascii="Bookman Old Style" w:eastAsia="Bookman Old Style" w:hAnsi="Bookman Old Style" w:cs="Bookman Old Style"/>
          <w:sz w:val="24"/>
          <w:szCs w:val="24"/>
        </w:rPr>
        <w:t>to provide a release to sell securities in a private capital raise without registering the securities (any business transaction involving investors), and also to provide the appropriate documentation for accepting and using capital.</w:t>
      </w:r>
    </w:p>
    <w:p w14:paraId="00000008" w14:textId="77777777" w:rsidR="00BE33C2" w:rsidRDefault="000B18E2">
      <w:pPr>
        <w:spacing w:line="360" w:lineRule="auto"/>
        <w:jc w:val="both"/>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Types of Regulation D o</w:t>
      </w:r>
      <w:r>
        <w:rPr>
          <w:rFonts w:ascii="Bookman Old Style" w:eastAsia="Bookman Old Style" w:hAnsi="Bookman Old Style" w:cs="Bookman Old Style"/>
          <w:b/>
          <w:sz w:val="24"/>
          <w:szCs w:val="24"/>
        </w:rPr>
        <w:t>fferings</w:t>
      </w:r>
    </w:p>
    <w:p w14:paraId="00000009" w14:textId="77777777" w:rsidR="00BE33C2" w:rsidRDefault="000B18E2">
      <w:pPr>
        <w:spacing w:line="36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There are two basic types of Regulation D Offerings (which can also be combined):</w:t>
      </w:r>
    </w:p>
    <w:p w14:paraId="0000000A" w14:textId="436027A4" w:rsidR="00BE33C2" w:rsidRDefault="000B18E2">
      <w:pPr>
        <w:spacing w:line="36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An “equity” offering is where the company sells partial (or a majority) ownership in the company (via security, stock or LLC membe</w:t>
      </w:r>
      <w:r w:rsidR="0092601B">
        <w:rPr>
          <w:rFonts w:ascii="Bookman Old Style" w:eastAsia="Bookman Old Style" w:hAnsi="Bookman Old Style" w:cs="Bookman Old Style"/>
          <w:sz w:val="24"/>
          <w:szCs w:val="24"/>
        </w:rPr>
        <w:t>rship units) to raise capital. With e</w:t>
      </w:r>
      <w:r>
        <w:rPr>
          <w:rFonts w:ascii="Bookman Old Style" w:eastAsia="Bookman Old Style" w:hAnsi="Bookman Old Style" w:cs="Bookman Old Style"/>
          <w:sz w:val="24"/>
          <w:szCs w:val="24"/>
        </w:rPr>
        <w:t>qui</w:t>
      </w:r>
      <w:r>
        <w:rPr>
          <w:rFonts w:ascii="Bookman Old Style" w:eastAsia="Bookman Old Style" w:hAnsi="Bookman Old Style" w:cs="Bookman Old Style"/>
          <w:sz w:val="24"/>
          <w:szCs w:val="24"/>
        </w:rPr>
        <w:t xml:space="preserve">ty offerings </w:t>
      </w:r>
      <w:r w:rsidR="0092601B">
        <w:rPr>
          <w:rFonts w:ascii="Bookman Old Style" w:eastAsia="Bookman Old Style" w:hAnsi="Bookman Old Style" w:cs="Bookman Old Style"/>
          <w:sz w:val="24"/>
          <w:szCs w:val="24"/>
        </w:rPr>
        <w:t>t</w:t>
      </w:r>
      <w:r>
        <w:rPr>
          <w:rFonts w:ascii="Bookman Old Style" w:eastAsia="Bookman Old Style" w:hAnsi="Bookman Old Style" w:cs="Bookman Old Style"/>
          <w:sz w:val="24"/>
          <w:szCs w:val="24"/>
        </w:rPr>
        <w:t>he investors receive a return when the company profits and those profits are shared.</w:t>
      </w:r>
    </w:p>
    <w:p w14:paraId="0000000B" w14:textId="5A82FD6E" w:rsidR="00BE33C2" w:rsidRDefault="000B18E2">
      <w:pPr>
        <w:spacing w:line="36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A “debt” offering is where the company raises deb</w:t>
      </w:r>
      <w:r w:rsidR="0092601B">
        <w:rPr>
          <w:rFonts w:ascii="Bookman Old Style" w:eastAsia="Bookman Old Style" w:hAnsi="Bookman Old Style" w:cs="Bookman Old Style"/>
          <w:sz w:val="24"/>
          <w:szCs w:val="24"/>
        </w:rPr>
        <w:t>t financing by taking out a loan</w:t>
      </w:r>
      <w:r>
        <w:rPr>
          <w:rFonts w:ascii="Bookman Old Style" w:eastAsia="Bookman Old Style" w:hAnsi="Bookman Old Style" w:cs="Bookman Old Style"/>
          <w:sz w:val="24"/>
          <w:szCs w:val="24"/>
        </w:rPr>
        <w:t>.</w:t>
      </w:r>
    </w:p>
    <w:p w14:paraId="0000000C" w14:textId="27282C47" w:rsidR="00BE33C2" w:rsidRDefault="000B18E2">
      <w:pPr>
        <w:spacing w:line="36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With an equity offering investors own a portion of the real estate; with a</w:t>
      </w:r>
      <w:r w:rsidR="0092601B">
        <w:rPr>
          <w:rFonts w:ascii="Bookman Old Style" w:eastAsia="Bookman Old Style" w:hAnsi="Bookman Old Style" w:cs="Bookman Old Style"/>
          <w:sz w:val="24"/>
          <w:szCs w:val="24"/>
        </w:rPr>
        <w:t xml:space="preserve"> debt offering investors own a P</w:t>
      </w:r>
      <w:r>
        <w:rPr>
          <w:rFonts w:ascii="Bookman Old Style" w:eastAsia="Bookman Old Style" w:hAnsi="Bookman Old Style" w:cs="Bookman Old Style"/>
          <w:sz w:val="24"/>
          <w:szCs w:val="24"/>
        </w:rPr>
        <w:t xml:space="preserve">romissory </w:t>
      </w:r>
      <w:r w:rsidR="0092601B">
        <w:rPr>
          <w:rFonts w:ascii="Bookman Old Style" w:eastAsia="Bookman Old Style" w:hAnsi="Bookman Old Style" w:cs="Bookman Old Style"/>
          <w:sz w:val="24"/>
          <w:szCs w:val="24"/>
        </w:rPr>
        <w:t>N</w:t>
      </w:r>
      <w:r>
        <w:rPr>
          <w:rFonts w:ascii="Bookman Old Style" w:eastAsia="Bookman Old Style" w:hAnsi="Bookman Old Style" w:cs="Bookman Old Style"/>
          <w:sz w:val="24"/>
          <w:szCs w:val="24"/>
        </w:rPr>
        <w:t>ote.</w:t>
      </w:r>
    </w:p>
    <w:p w14:paraId="0000000D" w14:textId="77777777" w:rsidR="00BE33C2" w:rsidRDefault="000B18E2">
      <w:pPr>
        <w:spacing w:line="360" w:lineRule="auto"/>
        <w:jc w:val="both"/>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Who Can Invest in Real Estate Syndications?</w:t>
      </w:r>
    </w:p>
    <w:p w14:paraId="0000000E" w14:textId="4377CE6C" w:rsidR="00BE33C2" w:rsidRDefault="000B18E2">
      <w:pPr>
        <w:spacing w:line="36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lastRenderedPageBreak/>
        <w:t>Real Estate Syndication investo</w:t>
      </w:r>
      <w:r>
        <w:rPr>
          <w:rFonts w:ascii="Bookman Old Style" w:eastAsia="Bookman Old Style" w:hAnsi="Bookman Old Style" w:cs="Bookman Old Style"/>
          <w:sz w:val="24"/>
          <w:szCs w:val="24"/>
        </w:rPr>
        <w:t xml:space="preserve">rs must either be </w:t>
      </w:r>
      <w:r>
        <w:rPr>
          <w:rFonts w:ascii="Bookman Old Style" w:eastAsia="Bookman Old Style" w:hAnsi="Bookman Old Style" w:cs="Bookman Old Style"/>
          <w:b/>
          <w:sz w:val="24"/>
          <w:szCs w:val="24"/>
        </w:rPr>
        <w:t>Accredited</w:t>
      </w:r>
      <w:r>
        <w:rPr>
          <w:rFonts w:ascii="Bookman Old Style" w:eastAsia="Bookman Old Style" w:hAnsi="Bookman Old Style" w:cs="Bookman Old Style"/>
          <w:sz w:val="24"/>
          <w:szCs w:val="24"/>
        </w:rPr>
        <w:t xml:space="preserve"> or </w:t>
      </w:r>
      <w:r>
        <w:rPr>
          <w:rFonts w:ascii="Bookman Old Style" w:eastAsia="Bookman Old Style" w:hAnsi="Bookman Old Style" w:cs="Bookman Old Style"/>
          <w:b/>
          <w:sz w:val="24"/>
          <w:szCs w:val="24"/>
        </w:rPr>
        <w:t>Sophisticated</w:t>
      </w:r>
      <w:r>
        <w:rPr>
          <w:rFonts w:ascii="Bookman Old Style" w:eastAsia="Bookman Old Style" w:hAnsi="Bookman Old Style" w:cs="Bookman Old Style"/>
          <w:sz w:val="24"/>
          <w:szCs w:val="24"/>
        </w:rPr>
        <w:t xml:space="preserve"> investors. Accredited investors are investors that earn over $200</w:t>
      </w:r>
      <w:r w:rsidR="0092601B">
        <w:rPr>
          <w:rFonts w:ascii="Bookman Old Style" w:eastAsia="Bookman Old Style" w:hAnsi="Bookman Old Style" w:cs="Bookman Old Style"/>
          <w:sz w:val="24"/>
          <w:szCs w:val="24"/>
        </w:rPr>
        <w:t>,000 U</w:t>
      </w:r>
      <w:r>
        <w:rPr>
          <w:rFonts w:ascii="Bookman Old Style" w:eastAsia="Bookman Old Style" w:hAnsi="Bookman Old Style" w:cs="Bookman Old Style"/>
          <w:sz w:val="24"/>
          <w:szCs w:val="24"/>
        </w:rPr>
        <w:t>SD per year or $300</w:t>
      </w:r>
      <w:r w:rsidR="0092601B">
        <w:rPr>
          <w:rFonts w:ascii="Bookman Old Style" w:eastAsia="Bookman Old Style" w:hAnsi="Bookman Old Style" w:cs="Bookman Old Style"/>
          <w:sz w:val="24"/>
          <w:szCs w:val="24"/>
        </w:rPr>
        <w:t>,000 USD if filing jointly;</w:t>
      </w:r>
      <w:r>
        <w:rPr>
          <w:rFonts w:ascii="Bookman Old Style" w:eastAsia="Bookman Old Style" w:hAnsi="Bookman Old Style" w:cs="Bookman Old Style"/>
          <w:sz w:val="24"/>
          <w:szCs w:val="24"/>
        </w:rPr>
        <w:t xml:space="preserve"> or have a net worth of over $1</w:t>
      </w:r>
      <w:r w:rsidR="0092601B">
        <w:rPr>
          <w:rFonts w:ascii="Bookman Old Style" w:eastAsia="Bookman Old Style" w:hAnsi="Bookman Old Style" w:cs="Bookman Old Style"/>
          <w:sz w:val="24"/>
          <w:szCs w:val="24"/>
        </w:rPr>
        <w:t>,000,000 USD</w:t>
      </w:r>
      <w:r>
        <w:rPr>
          <w:rFonts w:ascii="Bookman Old Style" w:eastAsia="Bookman Old Style" w:hAnsi="Bookman Old Style" w:cs="Bookman Old Style"/>
          <w:sz w:val="24"/>
          <w:szCs w:val="24"/>
        </w:rPr>
        <w:t xml:space="preserve">, not including </w:t>
      </w:r>
      <w:r w:rsidR="0092601B">
        <w:rPr>
          <w:rFonts w:ascii="Bookman Old Style" w:eastAsia="Bookman Old Style" w:hAnsi="Bookman Old Style" w:cs="Bookman Old Style"/>
          <w:sz w:val="24"/>
          <w:szCs w:val="24"/>
        </w:rPr>
        <w:t xml:space="preserve">a </w:t>
      </w:r>
      <w:r>
        <w:rPr>
          <w:rFonts w:ascii="Bookman Old Style" w:eastAsia="Bookman Old Style" w:hAnsi="Bookman Old Style" w:cs="Bookman Old Style"/>
          <w:sz w:val="24"/>
          <w:szCs w:val="24"/>
        </w:rPr>
        <w:t>personal residence. Sophisticate</w:t>
      </w:r>
      <w:r w:rsidR="0092601B">
        <w:rPr>
          <w:rFonts w:ascii="Bookman Old Style" w:eastAsia="Bookman Old Style" w:hAnsi="Bookman Old Style" w:cs="Bookman Old Style"/>
          <w:sz w:val="24"/>
          <w:szCs w:val="24"/>
        </w:rPr>
        <w:t>d Investors</w:t>
      </w:r>
      <w:r>
        <w:rPr>
          <w:rFonts w:ascii="Bookman Old Style" w:eastAsia="Bookman Old Style" w:hAnsi="Bookman Old Style" w:cs="Bookman Old Style"/>
          <w:sz w:val="24"/>
          <w:szCs w:val="24"/>
        </w:rPr>
        <w:t xml:space="preserve"> </w:t>
      </w:r>
      <w:r w:rsidR="0092601B">
        <w:rPr>
          <w:rFonts w:ascii="Bookman Old Style" w:eastAsia="Bookman Old Style" w:hAnsi="Bookman Old Style" w:cs="Bookman Old Style"/>
          <w:sz w:val="24"/>
          <w:szCs w:val="24"/>
        </w:rPr>
        <w:t xml:space="preserve">are non-accredited investors that </w:t>
      </w:r>
      <w:r w:rsidR="0092601B">
        <w:rPr>
          <w:rFonts w:ascii="Bookman Old Style" w:eastAsia="Bookman Old Style" w:hAnsi="Bookman Old Style" w:cs="Bookman Old Style"/>
          <w:sz w:val="24"/>
          <w:szCs w:val="24"/>
        </w:rPr>
        <w:t>have sufficient knowledge and experience in financial and business matters to make them capable of evaluating the merits and risks of the prospective investment</w:t>
      </w:r>
      <w:r w:rsidR="0092601B">
        <w:rPr>
          <w:rFonts w:ascii="Bookman Old Style" w:eastAsia="Bookman Old Style" w:hAnsi="Bookman Old Style" w:cs="Bookman Old Style"/>
          <w:sz w:val="24"/>
          <w:szCs w:val="24"/>
        </w:rPr>
        <w:t>.</w:t>
      </w:r>
    </w:p>
    <w:p w14:paraId="0000000F" w14:textId="77777777" w:rsidR="00BE33C2" w:rsidRDefault="000B18E2">
      <w:pPr>
        <w:spacing w:line="360" w:lineRule="auto"/>
        <w:jc w:val="both"/>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Rule 506 of Regulation D</w:t>
      </w:r>
    </w:p>
    <w:p w14:paraId="00000010" w14:textId="77777777" w:rsidR="00BE33C2" w:rsidRDefault="000B18E2">
      <w:pPr>
        <w:spacing w:line="36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Control</w:t>
      </w:r>
      <w:r>
        <w:rPr>
          <w:rFonts w:ascii="Bookman Old Style" w:eastAsia="Bookman Old Style" w:hAnsi="Bookman Old Style" w:cs="Bookman Old Style"/>
          <w:sz w:val="24"/>
          <w:szCs w:val="24"/>
        </w:rPr>
        <w:t xml:space="preserve"> 506 of Regulation D is considered a “safe harbor” for the private offering exemption of Section 4(2) of the Securities Act. Companies using the Rule 506 exemption can raise an unlimited amount of money. A company can be assured it is within the Section 4(</w:t>
      </w:r>
      <w:r>
        <w:rPr>
          <w:rFonts w:ascii="Bookman Old Style" w:eastAsia="Bookman Old Style" w:hAnsi="Bookman Old Style" w:cs="Bookman Old Style"/>
          <w:sz w:val="24"/>
          <w:szCs w:val="24"/>
        </w:rPr>
        <w:t>2) exemption by satisfying the following standards:</w:t>
      </w:r>
    </w:p>
    <w:p w14:paraId="00000011" w14:textId="77777777" w:rsidR="00BE33C2" w:rsidRDefault="000B18E2">
      <w:pPr>
        <w:spacing w:line="36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The company cannot use general solicitation or advertising for marketing the securities unless they only accept investments from Accredited Investors under Rule 506(c);</w:t>
      </w:r>
    </w:p>
    <w:p w14:paraId="00000012" w14:textId="6399DC3E" w:rsidR="00BE33C2" w:rsidRDefault="000B18E2">
      <w:pPr>
        <w:spacing w:line="36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The company may sell its securities</w:t>
      </w:r>
      <w:r>
        <w:rPr>
          <w:rFonts w:ascii="Bookman Old Style" w:eastAsia="Bookman Old Style" w:hAnsi="Bookman Old Style" w:cs="Bookman Old Style"/>
          <w:sz w:val="24"/>
          <w:szCs w:val="24"/>
        </w:rPr>
        <w:t xml:space="preserve"> under Rule 506(b) to an unlimited number of </w:t>
      </w:r>
      <w:r w:rsidR="0092601B">
        <w:rPr>
          <w:rFonts w:ascii="Bookman Old Style" w:eastAsia="Bookman Old Style" w:hAnsi="Bookman Old Style" w:cs="Bookman Old Style"/>
          <w:sz w:val="24"/>
          <w:szCs w:val="24"/>
        </w:rPr>
        <w:t>A</w:t>
      </w:r>
      <w:r>
        <w:rPr>
          <w:rFonts w:ascii="Bookman Old Style" w:eastAsia="Bookman Old Style" w:hAnsi="Bookman Old Style" w:cs="Bookman Old Style"/>
          <w:sz w:val="24"/>
          <w:szCs w:val="24"/>
        </w:rPr>
        <w:t xml:space="preserve">ccredited </w:t>
      </w:r>
      <w:r w:rsidR="0092601B">
        <w:rPr>
          <w:rFonts w:ascii="Bookman Old Style" w:eastAsia="Bookman Old Style" w:hAnsi="Bookman Old Style" w:cs="Bookman Old Style"/>
          <w:sz w:val="24"/>
          <w:szCs w:val="24"/>
        </w:rPr>
        <w:t>Investors</w:t>
      </w:r>
      <w:r>
        <w:rPr>
          <w:rFonts w:ascii="Bookman Old Style" w:eastAsia="Bookman Old Style" w:hAnsi="Bookman Old Style" w:cs="Bookman Old Style"/>
          <w:sz w:val="24"/>
          <w:szCs w:val="24"/>
        </w:rPr>
        <w:t xml:space="preserve"> and up to 35 </w:t>
      </w:r>
      <w:r w:rsidR="0092601B">
        <w:rPr>
          <w:rFonts w:ascii="Bookman Old Style" w:eastAsia="Bookman Old Style" w:hAnsi="Bookman Old Style" w:cs="Bookman Old Style"/>
          <w:sz w:val="24"/>
          <w:szCs w:val="24"/>
        </w:rPr>
        <w:t>Sophisticated Investors;</w:t>
      </w:r>
      <w:r>
        <w:rPr>
          <w:rFonts w:ascii="Bookman Old Style" w:eastAsia="Bookman Old Style" w:hAnsi="Bookman Old Style" w:cs="Bookman Old Style"/>
          <w:sz w:val="24"/>
          <w:szCs w:val="24"/>
        </w:rPr>
        <w:t xml:space="preserve"> </w:t>
      </w:r>
      <w:r>
        <w:rPr>
          <w:rFonts w:ascii="Bookman Old Style" w:eastAsia="Bookman Old Style" w:hAnsi="Bookman Old Style" w:cs="Bookman Old Style"/>
          <w:sz w:val="24"/>
          <w:szCs w:val="24"/>
        </w:rPr>
        <w:t xml:space="preserve"> </w:t>
      </w:r>
    </w:p>
    <w:p w14:paraId="00000013" w14:textId="77777777" w:rsidR="00BE33C2" w:rsidRDefault="000B18E2">
      <w:pPr>
        <w:spacing w:line="36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Companies must decide what information to give to accredited investors, so long as it does not violate the antifrau</w:t>
      </w:r>
      <w:r>
        <w:rPr>
          <w:rFonts w:ascii="Bookman Old Style" w:eastAsia="Bookman Old Style" w:hAnsi="Bookman Old Style" w:cs="Bookman Old Style"/>
          <w:sz w:val="24"/>
          <w:szCs w:val="24"/>
        </w:rPr>
        <w:t xml:space="preserve">d prohibitions of the federal securities laws. But companies must give non-accredited investors disclosure documents that are generally the same as those used in registered offerings. If a company provides information to accredited investors, it must make </w:t>
      </w:r>
      <w:r>
        <w:rPr>
          <w:rFonts w:ascii="Bookman Old Style" w:eastAsia="Bookman Old Style" w:hAnsi="Bookman Old Style" w:cs="Bookman Old Style"/>
          <w:sz w:val="24"/>
          <w:szCs w:val="24"/>
        </w:rPr>
        <w:t>this information available to non-accredited investors as well;</w:t>
      </w:r>
    </w:p>
    <w:p w14:paraId="00000014" w14:textId="77777777" w:rsidR="00BE33C2" w:rsidRDefault="000B18E2">
      <w:pPr>
        <w:spacing w:line="36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The company must be available to answer questions by prospective purchasers;</w:t>
      </w:r>
    </w:p>
    <w:p w14:paraId="00000015" w14:textId="77777777" w:rsidR="00BE33C2" w:rsidRDefault="000B18E2">
      <w:pPr>
        <w:spacing w:line="36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There are financial statement requirements;</w:t>
      </w:r>
    </w:p>
    <w:p w14:paraId="00000016" w14:textId="586D0454" w:rsidR="00BE33C2" w:rsidRDefault="000B18E2">
      <w:pPr>
        <w:spacing w:line="36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Purchasers receive “restricte</w:t>
      </w:r>
      <w:r w:rsidR="0092601B">
        <w:rPr>
          <w:rFonts w:ascii="Bookman Old Style" w:eastAsia="Bookman Old Style" w:hAnsi="Bookman Old Style" w:cs="Bookman Old Style"/>
          <w:sz w:val="24"/>
          <w:szCs w:val="24"/>
        </w:rPr>
        <w:t xml:space="preserve">d” securities, meaning that they </w:t>
      </w:r>
      <w:r>
        <w:rPr>
          <w:rFonts w:ascii="Bookman Old Style" w:eastAsia="Bookman Old Style" w:hAnsi="Bookman Old Style" w:cs="Bookman Old Style"/>
          <w:sz w:val="24"/>
          <w:szCs w:val="24"/>
        </w:rPr>
        <w:t>can</w:t>
      </w:r>
      <w:r>
        <w:rPr>
          <w:rFonts w:ascii="Bookman Old Style" w:eastAsia="Bookman Old Style" w:hAnsi="Bookman Old Style" w:cs="Bookman Old Style"/>
          <w:sz w:val="24"/>
          <w:szCs w:val="24"/>
        </w:rPr>
        <w:t xml:space="preserve">not be sold for at least </w:t>
      </w:r>
      <w:r w:rsidR="000B2FF8">
        <w:rPr>
          <w:rFonts w:ascii="Bookman Old Style" w:eastAsia="Bookman Old Style" w:hAnsi="Bookman Old Style" w:cs="Bookman Old Style"/>
          <w:sz w:val="24"/>
          <w:szCs w:val="24"/>
        </w:rPr>
        <w:t>one</w:t>
      </w:r>
      <w:r>
        <w:rPr>
          <w:rFonts w:ascii="Bookman Old Style" w:eastAsia="Bookman Old Style" w:hAnsi="Bookman Old Style" w:cs="Bookman Old Style"/>
          <w:sz w:val="24"/>
          <w:szCs w:val="24"/>
        </w:rPr>
        <w:t xml:space="preserve"> year without registering them.</w:t>
      </w:r>
    </w:p>
    <w:p w14:paraId="00000017" w14:textId="77777777" w:rsidR="00BE33C2" w:rsidRDefault="000B18E2">
      <w:pPr>
        <w:spacing w:line="360" w:lineRule="auto"/>
        <w:jc w:val="both"/>
        <w:rPr>
          <w:rFonts w:ascii="Bookman Old Style" w:eastAsia="Bookman Old Style" w:hAnsi="Bookman Old Style" w:cs="Bookman Old Style"/>
          <w:sz w:val="24"/>
          <w:szCs w:val="24"/>
          <w:highlight w:val="yellow"/>
        </w:rPr>
      </w:pPr>
      <w:r>
        <w:rPr>
          <w:rFonts w:ascii="Bookman Old Style" w:eastAsia="Bookman Old Style" w:hAnsi="Bookman Old Style" w:cs="Bookman Old Style"/>
          <w:sz w:val="24"/>
          <w:szCs w:val="24"/>
        </w:rPr>
        <w:lastRenderedPageBreak/>
        <w:t>While companies using the Rule 506 exemption do not have to register their securities and usually do not have to file reports with the SEC, they must file what is known as a “Form D” after they firs</w:t>
      </w:r>
      <w:r>
        <w:rPr>
          <w:rFonts w:ascii="Bookman Old Style" w:eastAsia="Bookman Old Style" w:hAnsi="Bookman Old Style" w:cs="Bookman Old Style"/>
          <w:sz w:val="24"/>
          <w:szCs w:val="24"/>
        </w:rPr>
        <w:t>t sell their securities. Form D is a brief notice that includes the names and addresses of the company’s owners and stock promoters but contains little other information about the company.</w:t>
      </w:r>
    </w:p>
    <w:p w14:paraId="00000018" w14:textId="77777777" w:rsidR="00BE33C2" w:rsidRPr="00F56FE0" w:rsidRDefault="000B18E2">
      <w:pPr>
        <w:spacing w:line="360" w:lineRule="auto"/>
        <w:jc w:val="both"/>
        <w:rPr>
          <w:rFonts w:ascii="Bookman Old Style" w:eastAsia="Bookman Old Style" w:hAnsi="Bookman Old Style" w:cs="Bookman Old Style"/>
          <w:sz w:val="16"/>
          <w:szCs w:val="14"/>
        </w:rPr>
      </w:pPr>
      <w:r w:rsidRPr="00F56FE0">
        <w:rPr>
          <w:rFonts w:ascii="Bookman Old Style" w:eastAsia="Bookman Old Style" w:hAnsi="Bookman Old Style" w:cs="Bookman Old Style"/>
          <w:sz w:val="16"/>
          <w:szCs w:val="14"/>
        </w:rPr>
        <w:t>Source: Securities and Exchange Commission (2016)</w:t>
      </w:r>
    </w:p>
    <w:p w14:paraId="00000019" w14:textId="77777777" w:rsidR="00BE33C2" w:rsidRDefault="000B18E2">
      <w:pPr>
        <w:spacing w:line="360" w:lineRule="auto"/>
        <w:jc w:val="both"/>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Who are the players?</w:t>
      </w:r>
      <w:bookmarkStart w:id="0" w:name="_GoBack"/>
      <w:bookmarkEnd w:id="0"/>
    </w:p>
    <w:p w14:paraId="0000001A" w14:textId="77777777" w:rsidR="00BE33C2" w:rsidRDefault="000B18E2">
      <w:pPr>
        <w:spacing w:line="360" w:lineRule="auto"/>
        <w:jc w:val="both"/>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Sponsor</w:t>
      </w:r>
    </w:p>
    <w:p w14:paraId="0000001B" w14:textId="77777777" w:rsidR="00BE33C2" w:rsidRDefault="000B18E2">
      <w:pPr>
        <w:spacing w:line="360" w:lineRule="auto"/>
        <w:jc w:val="both"/>
        <w:rPr>
          <w:rFonts w:ascii="Bookman Old Style" w:eastAsia="Bookman Old Style" w:hAnsi="Bookman Old Style" w:cs="Bookman Old Style"/>
          <w:sz w:val="24"/>
          <w:szCs w:val="24"/>
        </w:rPr>
      </w:pPr>
      <w:bookmarkStart w:id="1" w:name="_gjdgxs" w:colFirst="0" w:colLast="0"/>
      <w:bookmarkEnd w:id="1"/>
      <w:r>
        <w:rPr>
          <w:rFonts w:ascii="Bookman Old Style" w:eastAsia="Bookman Old Style" w:hAnsi="Bookman Old Style" w:cs="Bookman Old Style"/>
          <w:sz w:val="24"/>
          <w:szCs w:val="24"/>
        </w:rPr>
        <w:t xml:space="preserve">The sponsor is the owner(s) or developer(s) of the asset; the party that collects the funds, also known as the principal or </w:t>
      </w:r>
      <w:r>
        <w:rPr>
          <w:rFonts w:ascii="Bookman Old Style" w:eastAsia="Bookman Old Style" w:hAnsi="Bookman Old Style" w:cs="Bookman Old Style"/>
          <w:b/>
          <w:sz w:val="24"/>
          <w:szCs w:val="24"/>
        </w:rPr>
        <w:t>General Partners</w:t>
      </w:r>
      <w:r>
        <w:rPr>
          <w:rFonts w:ascii="Bookman Old Style" w:eastAsia="Bookman Old Style" w:hAnsi="Bookman Old Style" w:cs="Bookman Old Style"/>
          <w:sz w:val="24"/>
          <w:szCs w:val="24"/>
        </w:rPr>
        <w:t>. The sponsor is the party seeking the transaction and executes the purchase and operat</w:t>
      </w:r>
      <w:r>
        <w:rPr>
          <w:rFonts w:ascii="Bookman Old Style" w:eastAsia="Bookman Old Style" w:hAnsi="Bookman Old Style" w:cs="Bookman Old Style"/>
          <w:sz w:val="24"/>
          <w:szCs w:val="24"/>
        </w:rPr>
        <w:t xml:space="preserve">ion of the property. </w:t>
      </w:r>
    </w:p>
    <w:p w14:paraId="0000001C" w14:textId="77777777" w:rsidR="00BE33C2" w:rsidRDefault="000B18E2">
      <w:pPr>
        <w:spacing w:line="360" w:lineRule="auto"/>
        <w:jc w:val="both"/>
        <w:rPr>
          <w:rFonts w:ascii="Bookman Old Style" w:eastAsia="Bookman Old Style" w:hAnsi="Bookman Old Style" w:cs="Bookman Old Style"/>
          <w:b/>
          <w:sz w:val="24"/>
          <w:szCs w:val="24"/>
        </w:rPr>
      </w:pPr>
      <w:bookmarkStart w:id="2" w:name="_4h04mr7f2lsu" w:colFirst="0" w:colLast="0"/>
      <w:bookmarkEnd w:id="2"/>
      <w:r>
        <w:rPr>
          <w:rFonts w:ascii="Bookman Old Style" w:eastAsia="Bookman Old Style" w:hAnsi="Bookman Old Style" w:cs="Bookman Old Style"/>
          <w:b/>
          <w:sz w:val="24"/>
          <w:szCs w:val="24"/>
        </w:rPr>
        <w:t>Limited Partners</w:t>
      </w:r>
    </w:p>
    <w:p w14:paraId="0000001D" w14:textId="77777777" w:rsidR="00BE33C2" w:rsidRDefault="000B18E2">
      <w:pPr>
        <w:spacing w:line="360" w:lineRule="auto"/>
        <w:jc w:val="both"/>
        <w:rPr>
          <w:rFonts w:ascii="Bookman Old Style" w:eastAsia="Bookman Old Style" w:hAnsi="Bookman Old Style" w:cs="Bookman Old Style"/>
          <w:sz w:val="24"/>
          <w:szCs w:val="24"/>
        </w:rPr>
      </w:pPr>
      <w:bookmarkStart w:id="3" w:name="_1f90ckld47zp" w:colFirst="0" w:colLast="0"/>
      <w:bookmarkEnd w:id="3"/>
      <w:r>
        <w:rPr>
          <w:rFonts w:ascii="Bookman Old Style" w:eastAsia="Bookman Old Style" w:hAnsi="Bookman Old Style" w:cs="Bookman Old Style"/>
          <w:sz w:val="24"/>
          <w:szCs w:val="24"/>
        </w:rPr>
        <w:t>Accredited and sophisticated investors are the Limited Partners.  They are called as such, because they are passive investors in the acquisition of the asset, meaning they are not involved in the day to day operation of the asset(s).</w:t>
      </w:r>
    </w:p>
    <w:p w14:paraId="0000001E" w14:textId="77777777" w:rsidR="00BE33C2" w:rsidRDefault="000B18E2">
      <w:pPr>
        <w:spacing w:line="360" w:lineRule="auto"/>
        <w:jc w:val="both"/>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What are the risks?</w:t>
      </w:r>
    </w:p>
    <w:p w14:paraId="0000001F" w14:textId="77777777" w:rsidR="00BE33C2" w:rsidRDefault="000B18E2">
      <w:pPr>
        <w:spacing w:line="36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Sp</w:t>
      </w:r>
      <w:r>
        <w:rPr>
          <w:rFonts w:ascii="Bookman Old Style" w:eastAsia="Bookman Old Style" w:hAnsi="Bookman Old Style" w:cs="Bookman Old Style"/>
          <w:b/>
          <w:sz w:val="24"/>
          <w:szCs w:val="24"/>
        </w:rPr>
        <w:t>onsor:</w:t>
      </w:r>
      <w:r>
        <w:rPr>
          <w:rFonts w:ascii="Bookman Old Style" w:eastAsia="Bookman Old Style" w:hAnsi="Bookman Old Style" w:cs="Bookman Old Style"/>
          <w:sz w:val="24"/>
          <w:szCs w:val="24"/>
        </w:rPr>
        <w:t xml:space="preserve"> The sponsor(s) will generally be exposed to significant financial and reputation risk. Often, the sponsor will have personal guarantees of recourse in the acquisition loan.</w:t>
      </w:r>
    </w:p>
    <w:p w14:paraId="00000020" w14:textId="77777777" w:rsidR="00BE33C2" w:rsidRDefault="000B18E2">
      <w:pPr>
        <w:pBdr>
          <w:bottom w:val="dotted" w:sz="24" w:space="1" w:color="auto"/>
        </w:pBdr>
        <w:spacing w:line="36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Investor:</w:t>
      </w:r>
      <w:r>
        <w:rPr>
          <w:rFonts w:ascii="Bookman Old Style" w:eastAsia="Bookman Old Style" w:hAnsi="Bookman Old Style" w:cs="Bookman Old Style"/>
          <w:sz w:val="24"/>
          <w:szCs w:val="24"/>
        </w:rPr>
        <w:t xml:space="preserve"> the investor also incurs a significant financial risk to the exten</w:t>
      </w:r>
      <w:r>
        <w:rPr>
          <w:rFonts w:ascii="Bookman Old Style" w:eastAsia="Bookman Old Style" w:hAnsi="Bookman Old Style" w:cs="Bookman Old Style"/>
          <w:sz w:val="24"/>
          <w:szCs w:val="24"/>
        </w:rPr>
        <w:t>t that he/she provides the greater part of the capital. They have a marginal reputation risk. Generally, they will not commercialize the transaction and the asset.</w:t>
      </w:r>
    </w:p>
    <w:p w14:paraId="4C6F2165" w14:textId="77777777" w:rsidR="00F56FE0" w:rsidRDefault="00F56FE0">
      <w:pPr>
        <w:spacing w:line="360" w:lineRule="auto"/>
        <w:jc w:val="both"/>
        <w:rPr>
          <w:rFonts w:ascii="Bookman Old Style" w:eastAsia="Bookman Old Style" w:hAnsi="Bookman Old Style" w:cs="Bookman Old Style"/>
          <w:sz w:val="24"/>
          <w:szCs w:val="24"/>
        </w:rPr>
      </w:pPr>
    </w:p>
    <w:p w14:paraId="5E60F602" w14:textId="77777777" w:rsidR="00F56FE0" w:rsidRDefault="00F56FE0">
      <w:pPr>
        <w:spacing w:line="360" w:lineRule="auto"/>
        <w:jc w:val="both"/>
        <w:rPr>
          <w:rFonts w:ascii="Bookman Old Style" w:eastAsia="Bookman Old Style" w:hAnsi="Bookman Old Style" w:cs="Bookman Old Style"/>
          <w:sz w:val="24"/>
          <w:szCs w:val="24"/>
        </w:rPr>
      </w:pPr>
    </w:p>
    <w:p w14:paraId="00000023" w14:textId="1BEC6CB1" w:rsidR="00BE33C2" w:rsidRDefault="000B18E2">
      <w:pPr>
        <w:spacing w:line="360" w:lineRule="auto"/>
        <w:jc w:val="both"/>
        <w:rPr>
          <w:rFonts w:ascii="Bookman Old Style" w:eastAsia="Bookman Old Style" w:hAnsi="Bookman Old Style" w:cs="Bookman Old Style"/>
          <w:sz w:val="24"/>
          <w:szCs w:val="24"/>
        </w:rPr>
      </w:pPr>
      <w:r w:rsidRPr="000B2FF8">
        <w:rPr>
          <w:rFonts w:ascii="Bookman Old Style" w:eastAsia="Bookman Old Style" w:hAnsi="Bookman Old Style" w:cs="Bookman Old Style"/>
          <w:szCs w:val="24"/>
        </w:rPr>
        <w:lastRenderedPageBreak/>
        <w:t>If you are thinking about investing in a company making a Rule 506 offering, you should cal</w:t>
      </w:r>
      <w:r w:rsidRPr="000B2FF8">
        <w:rPr>
          <w:rFonts w:ascii="Bookman Old Style" w:eastAsia="Bookman Old Style" w:hAnsi="Bookman Old Style" w:cs="Bookman Old Style"/>
          <w:szCs w:val="24"/>
        </w:rPr>
        <w:t>l the SEC’s Public Reference Branch at (202) 551-8090 or send an email to publicinfo@sec.gov to find out whether a Form D has been filed or to obtain a copy. If the company has not filed a Form D, this should alert you that the company may not be in compli</w:t>
      </w:r>
      <w:r w:rsidRPr="000B2FF8">
        <w:rPr>
          <w:rFonts w:ascii="Bookman Old Style" w:eastAsia="Bookman Old Style" w:hAnsi="Bookman Old Style" w:cs="Bookman Old Style"/>
          <w:szCs w:val="24"/>
        </w:rPr>
        <w:t>ance with the federal securities laws.</w:t>
      </w:r>
    </w:p>
    <w:sectPr w:rsidR="00BE33C2">
      <w:footerReference w:type="defaul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4DCE18" w14:textId="77777777" w:rsidR="000B18E2" w:rsidRDefault="000B18E2" w:rsidP="00F56FE0">
      <w:pPr>
        <w:spacing w:after="0" w:line="240" w:lineRule="auto"/>
      </w:pPr>
      <w:r>
        <w:separator/>
      </w:r>
    </w:p>
  </w:endnote>
  <w:endnote w:type="continuationSeparator" w:id="0">
    <w:p w14:paraId="7D81AD1B" w14:textId="77777777" w:rsidR="000B18E2" w:rsidRDefault="000B18E2" w:rsidP="00F56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DCF99" w14:textId="75B78168" w:rsidR="00F56FE0" w:rsidRPr="00F56FE0" w:rsidRDefault="00F56FE0" w:rsidP="00F56FE0">
    <w:pPr>
      <w:pStyle w:val="Footer"/>
      <w:jc w:val="center"/>
    </w:pPr>
    <w:r>
      <w:t>Copyright © 2019 MI Real Estate, LLC – All Rights Reserved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04DE2D" w14:textId="77777777" w:rsidR="000B18E2" w:rsidRDefault="000B18E2" w:rsidP="00F56FE0">
      <w:pPr>
        <w:spacing w:after="0" w:line="240" w:lineRule="auto"/>
      </w:pPr>
      <w:r>
        <w:separator/>
      </w:r>
    </w:p>
  </w:footnote>
  <w:footnote w:type="continuationSeparator" w:id="0">
    <w:p w14:paraId="691E61BC" w14:textId="77777777" w:rsidR="000B18E2" w:rsidRDefault="000B18E2" w:rsidP="00F56F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3C2"/>
    <w:rsid w:val="000B18E2"/>
    <w:rsid w:val="000B2FF8"/>
    <w:rsid w:val="0092601B"/>
    <w:rsid w:val="00B8335B"/>
    <w:rsid w:val="00BE33C2"/>
    <w:rsid w:val="00DE27F9"/>
    <w:rsid w:val="00F56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015A13-5C55-4B9B-976F-A13252F72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link w:val="Heading3Char"/>
    <w:uiPriority w:val="9"/>
    <w:qFormat/>
    <w:rsid w:val="00A7726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A77269"/>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3Char">
    <w:name w:val="Heading 3 Char"/>
    <w:basedOn w:val="DefaultParagraphFont"/>
    <w:link w:val="Heading3"/>
    <w:uiPriority w:val="9"/>
    <w:rsid w:val="00A7726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77269"/>
    <w:rPr>
      <w:rFonts w:ascii="Times New Roman" w:eastAsia="Times New Roman" w:hAnsi="Times New Roman" w:cs="Times New Roman"/>
      <w:b/>
      <w:bCs/>
      <w:sz w:val="24"/>
      <w:szCs w:val="24"/>
    </w:rPr>
  </w:style>
  <w:style w:type="paragraph" w:customStyle="1" w:styleId="graf">
    <w:name w:val="graf"/>
    <w:basedOn w:val="Normal"/>
    <w:rsid w:val="00A7726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77269"/>
    <w:rPr>
      <w:b/>
      <w:b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92601B"/>
    <w:rPr>
      <w:color w:val="0000FF" w:themeColor="hyperlink"/>
      <w:u w:val="single"/>
    </w:rPr>
  </w:style>
  <w:style w:type="paragraph" w:styleId="Header">
    <w:name w:val="header"/>
    <w:basedOn w:val="Normal"/>
    <w:link w:val="HeaderChar"/>
    <w:uiPriority w:val="99"/>
    <w:unhideWhenUsed/>
    <w:rsid w:val="00F56F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6FE0"/>
  </w:style>
  <w:style w:type="paragraph" w:styleId="Footer">
    <w:name w:val="footer"/>
    <w:basedOn w:val="Normal"/>
    <w:link w:val="FooterChar"/>
    <w:uiPriority w:val="99"/>
    <w:unhideWhenUsed/>
    <w:rsid w:val="00F56F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6F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facebook.com/mirealestatellc/?view_public_for=166912814254122" TargetMode="External"/><Relationship Id="rId13"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hyperlink" Target="http://www.mirealestate.us" TargetMode="External"/><Relationship Id="rId12" Type="http://schemas.openxmlformats.org/officeDocument/2006/relationships/hyperlink" Target="https://www.linkedin.com/company/mirealestate/"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twitter.com/M_I_RealEstate" TargetMode="Externa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hyperlink" Target="http://legcounsel.house.gov/Comps/Securities%20Act%20Of%20193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5</Pages>
  <Words>897</Words>
  <Characters>5114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Oyindamola</dc:creator>
  <cp:lastModifiedBy>Ismael Reyes</cp:lastModifiedBy>
  <cp:revision>3</cp:revision>
  <dcterms:created xsi:type="dcterms:W3CDTF">2019-03-23T16:50:00Z</dcterms:created>
  <dcterms:modified xsi:type="dcterms:W3CDTF">2019-03-23T18:18:00Z</dcterms:modified>
</cp:coreProperties>
</file>